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B817" w14:textId="77777777" w:rsidR="0093505F" w:rsidRPr="0093505F" w:rsidRDefault="0093505F" w:rsidP="0093505F">
      <w:pPr>
        <w:spacing w:before="100" w:beforeAutospacing="1" w:after="300" w:line="240" w:lineRule="auto"/>
        <w:jc w:val="center"/>
        <w:outlineLvl w:val="1"/>
        <w:rPr>
          <w:rFonts w:ascii="Arial" w:eastAsia="Times New Roman" w:hAnsi="Arial" w:cs="Arial"/>
          <w:b/>
          <w:bCs/>
          <w:color w:val="0056B3"/>
          <w:kern w:val="0"/>
          <w:sz w:val="36"/>
          <w:szCs w:val="36"/>
          <w14:ligatures w14:val="none"/>
        </w:rPr>
      </w:pPr>
      <w:r w:rsidRPr="0093505F">
        <w:rPr>
          <w:rFonts w:ascii="Arial" w:eastAsia="Times New Roman" w:hAnsi="Arial" w:cs="Arial"/>
          <w:b/>
          <w:bCs/>
          <w:color w:val="0056B3"/>
          <w:kern w:val="0"/>
          <w:sz w:val="36"/>
          <w:szCs w:val="36"/>
          <w14:ligatures w14:val="none"/>
        </w:rPr>
        <w:t>Project Risk Management Document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2416"/>
        <w:gridCol w:w="1490"/>
        <w:gridCol w:w="3441"/>
      </w:tblGrid>
      <w:tr w:rsidR="0093505F" w:rsidRPr="0093505F" w14:paraId="59792362" w14:textId="77777777" w:rsidTr="0093505F">
        <w:trPr>
          <w:tblHeader/>
        </w:trPr>
        <w:tc>
          <w:tcPr>
            <w:tcW w:w="9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F5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F3BB9" w14:textId="77777777" w:rsidR="0093505F" w:rsidRPr="0093505F" w:rsidRDefault="0093505F" w:rsidP="0093505F">
            <w:pPr>
              <w:spacing w:after="0" w:line="240" w:lineRule="auto"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Risk Category</w:t>
            </w:r>
          </w:p>
        </w:tc>
        <w:tc>
          <w:tcPr>
            <w:tcW w:w="1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F5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2FB3B" w14:textId="77777777" w:rsidR="0093505F" w:rsidRPr="0093505F" w:rsidRDefault="0093505F" w:rsidP="0093505F">
            <w:pPr>
              <w:spacing w:after="0" w:line="240" w:lineRule="auto"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Description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F5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CC3CC" w14:textId="77777777" w:rsidR="0093505F" w:rsidRPr="0093505F" w:rsidRDefault="0093505F" w:rsidP="0093505F">
            <w:pPr>
              <w:spacing w:after="0" w:line="240" w:lineRule="auto"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Impact Potential</w:t>
            </w:r>
          </w:p>
        </w:tc>
        <w:tc>
          <w:tcPr>
            <w:tcW w:w="19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F5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0603E" w14:textId="77777777" w:rsidR="0093505F" w:rsidRPr="0093505F" w:rsidRDefault="0093505F" w:rsidP="0093505F">
            <w:pPr>
              <w:spacing w:after="0" w:line="240" w:lineRule="auto"/>
              <w:jc w:val="center"/>
              <w:rPr>
                <w:rFonts w:ascii="Work Sans" w:eastAsia="Times New Roman" w:hAnsi="Work Sans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Mitigation Strategy</w:t>
            </w:r>
          </w:p>
        </w:tc>
      </w:tr>
      <w:tr w:rsidR="0093505F" w:rsidRPr="0093505F" w14:paraId="41D055BD" w14:textId="77777777" w:rsidTr="0093505F">
        <w:tc>
          <w:tcPr>
            <w:tcW w:w="9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F3FFE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Delayed Decisions</w:t>
            </w:r>
          </w:p>
        </w:tc>
        <w:tc>
          <w:tcPr>
            <w:tcW w:w="1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6C17F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Progress may stall due to delayed decisions and approvals from the client.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A1740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Moderate to High</w:t>
            </w:r>
          </w:p>
        </w:tc>
        <w:tc>
          <w:tcPr>
            <w:tcW w:w="19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AE498" w14:textId="6CACAC0D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We seek to ensure that our s</w:t>
            </w: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chedule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d meetings and</w:t>
            </w: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regular update meetings with the client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and project manager continues to be effective</w:t>
            </w: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. 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We need to ensure that approval and close off on deliverable to PSC and Library is accepted in a timely manner.</w:t>
            </w:r>
          </w:p>
        </w:tc>
      </w:tr>
      <w:tr w:rsidR="0093505F" w:rsidRPr="0093505F" w14:paraId="77D162C2" w14:textId="77777777" w:rsidTr="0093505F">
        <w:tc>
          <w:tcPr>
            <w:tcW w:w="9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6082D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Misalignment with Expectations</w:t>
            </w:r>
          </w:p>
        </w:tc>
        <w:tc>
          <w:tcPr>
            <w:tcW w:w="1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4A25A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Without consistent feedback, project outcomes might not align with client expectations.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54836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High</w:t>
            </w:r>
          </w:p>
        </w:tc>
        <w:tc>
          <w:tcPr>
            <w:tcW w:w="19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020A5" w14:textId="0EB1070D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Document and share deliverables for regular reviews. Implement a sign-off process at critical milestones to ensure alignment.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Critical for the handover processes, to ensure that any project outputs can be adjusted within the timeframe of the contractual agreement.</w:t>
            </w:r>
          </w:p>
        </w:tc>
      </w:tr>
      <w:tr w:rsidR="0093505F" w:rsidRPr="0093505F" w14:paraId="4909622E" w14:textId="77777777" w:rsidTr="0093505F">
        <w:tc>
          <w:tcPr>
            <w:tcW w:w="9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6A064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Resource Availability</w:t>
            </w:r>
          </w:p>
        </w:tc>
        <w:tc>
          <w:tcPr>
            <w:tcW w:w="1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3F62A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Key personnel or critical resources may become less available as the project nears completion.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7A14C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High</w:t>
            </w:r>
          </w:p>
        </w:tc>
        <w:tc>
          <w:tcPr>
            <w:tcW w:w="19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393C8" w14:textId="18C3FDAE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Plan resource allocation considering key dates. Secure commitments from necessary resources and train additional staff as backups.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We seek to ensure that the 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plans to train staff for scanning and digitization within the PSC and Library project is identified and that these can occur within the period on or before September 2024.</w:t>
            </w:r>
          </w:p>
        </w:tc>
      </w:tr>
      <w:tr w:rsidR="0093505F" w:rsidRPr="0093505F" w14:paraId="329B0C84" w14:textId="77777777" w:rsidTr="0093505F">
        <w:tc>
          <w:tcPr>
            <w:tcW w:w="9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868BD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Technical Issues</w:t>
            </w:r>
          </w:p>
        </w:tc>
        <w:tc>
          <w:tcPr>
            <w:tcW w:w="1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6CEF6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Integration issues or defects with new systems or components.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E84F7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Moderate to High</w:t>
            </w:r>
          </w:p>
        </w:tc>
        <w:tc>
          <w:tcPr>
            <w:tcW w:w="19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FCA26" w14:textId="7059CE1A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Conduct thorough testing and validation of all new systems before full integration. Include buffer time in the schedule for addressing unforeseen issues.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Hosting to be well established by the Ministry of ICT for the various systems -PSC and Library.</w:t>
            </w:r>
          </w:p>
        </w:tc>
      </w:tr>
      <w:tr w:rsidR="0093505F" w:rsidRPr="0093505F" w14:paraId="6EC37C4B" w14:textId="77777777" w:rsidTr="0093505F">
        <w:tc>
          <w:tcPr>
            <w:tcW w:w="9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BEF56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Budget Overruns</w:t>
            </w:r>
          </w:p>
        </w:tc>
        <w:tc>
          <w:tcPr>
            <w:tcW w:w="1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595F60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Potential for unforeseen expenses or delays leading to budget overruns.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CDB5D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High</w:t>
            </w:r>
          </w:p>
        </w:tc>
        <w:tc>
          <w:tcPr>
            <w:tcW w:w="19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85CF8" w14:textId="51BC115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Establish the allocation for the cost overruns that can occur due to client ongoing delays.</w:t>
            </w:r>
          </w:p>
        </w:tc>
      </w:tr>
      <w:tr w:rsidR="0093505F" w:rsidRPr="0093505F" w14:paraId="5F258908" w14:textId="77777777" w:rsidTr="0093505F">
        <w:tc>
          <w:tcPr>
            <w:tcW w:w="9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44028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Regulatory Compliance</w:t>
            </w:r>
          </w:p>
        </w:tc>
        <w:tc>
          <w:tcPr>
            <w:tcW w:w="1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E228F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Overlooked compliance requirements or changes in regulations.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0B498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High</w:t>
            </w:r>
          </w:p>
        </w:tc>
        <w:tc>
          <w:tcPr>
            <w:tcW w:w="19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D1398" w14:textId="0CDD62CE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Regularly review project compliance with current laws and standards. Engage legal or regulatory experts to ensure adherence.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Ensure that our close off report reflect that 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all document, information and employees are cleared from any mis conduct or any other such practices that can infringe on the security of the client’s information assets.</w:t>
            </w:r>
          </w:p>
        </w:tc>
      </w:tr>
      <w:tr w:rsidR="0093505F" w:rsidRPr="0093505F" w14:paraId="796954AC" w14:textId="77777777" w:rsidTr="0093505F">
        <w:tc>
          <w:tcPr>
            <w:tcW w:w="9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6D771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External Factors</w:t>
            </w:r>
          </w:p>
        </w:tc>
        <w:tc>
          <w:tcPr>
            <w:tcW w:w="1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83D43B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Economic downturns, political instability, or significant industry changes might impact the project.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1AE88" w14:textId="77777777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Moderate to High</w:t>
            </w:r>
          </w:p>
        </w:tc>
        <w:tc>
          <w:tcPr>
            <w:tcW w:w="19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15BBE" w14:textId="57F4C6FF" w:rsidR="0093505F" w:rsidRPr="0093505F" w:rsidRDefault="0093505F" w:rsidP="0093505F">
            <w:pPr>
              <w:spacing w:after="0" w:line="240" w:lineRule="auto"/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3505F"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>Stay informed about external developments and create contingency plans that can be activated if these risks materialize.</w:t>
            </w:r>
            <w:r>
              <w:rPr>
                <w:rFonts w:ascii="Work Sans" w:eastAsia="Times New Roman" w:hAnsi="Work Sans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Specifically the upcoming hurricane season, and drought issue ongoing in 2024 in Grenada can lead to challenges for health and project outcomes.</w:t>
            </w:r>
          </w:p>
        </w:tc>
      </w:tr>
    </w:tbl>
    <w:p w14:paraId="600B39F4" w14:textId="77777777" w:rsidR="007852E2" w:rsidRDefault="007852E2"/>
    <w:sectPr w:rsidR="0078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5F"/>
    <w:rsid w:val="007852E2"/>
    <w:rsid w:val="008F4EB4"/>
    <w:rsid w:val="0093505F"/>
    <w:rsid w:val="00C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C318"/>
  <w15:chartTrackingRefBased/>
  <w15:docId w15:val="{F39C31FE-9612-45A2-9E7C-1C0DF2DA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5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505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Daniel</dc:creator>
  <cp:keywords/>
  <dc:description/>
  <cp:lastModifiedBy>Imi Chitterman</cp:lastModifiedBy>
  <cp:revision>1</cp:revision>
  <dcterms:created xsi:type="dcterms:W3CDTF">2024-06-09T21:26:00Z</dcterms:created>
  <dcterms:modified xsi:type="dcterms:W3CDTF">2024-06-09T21:32:00Z</dcterms:modified>
</cp:coreProperties>
</file>